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21</w:t>
      </w:r>
    </w:p>
    <w:p>
      <w:r>
        <w:t>Bundesgericht (BGE), 2000-01-13, DE</w:t>
      </w:r>
    </w:p>
    <w:p>
      <w:r>
        <w:rPr>
          <w:b/>
        </w:rPr>
        <w:t xml:space="preserve">Quelle: </w:t>
      </w:r>
      <w:r>
        <w:t>https://mcp.opencaselaw.ch/entscheid/bge_126 II 21</w:t>
      </w:r>
    </w:p>
    <w:p>
      <w:r>
        <w:t>FR: ATF 126 II 21</w:t>
      </w:r>
    </w:p>
    <w:p>
      <w:r>
        <w:t>IT: DTF 126 II 21</w:t>
      </w:r>
    </w:p>
    <w:p>
      <w:pPr>
        <w:pStyle w:val="Heading2"/>
      </w:pPr>
      <w:r>
        <w:t>Regeste</w:t>
      </w:r>
    </w:p>
    <w:p>
      <w:r>
        <w:t>Regeste Art. 11 Ziff. 2 des Europäischen Übereinkommens über das grenzüberschreitende Fernsehen; Art. 15 Abs. 1 lit. d der Radio- und Fernsehverordnung; Zuständigkeit zur Prüfung der Rundfunkrechtskonformität einer Werbung für alkoholfreies Bier ("Schlossgold"-Werbung). Die Frage, ob ein Produkt trotz Werbeverbots bzw. in Umgehung eines solchen unzulässigerweise beworben und der Zuschauer dadurch getäuscht worden ist, obliegt in der Regel - und im konkreten Fall - der konzessionsrechtlichen Aufsichtsbehörde und nicht der Unabhängigen Beschwerdeinstanz für Radio und Fernsehen (E. 2d).</w:t>
      </w:r>
    </w:p>
    <w:p>
      <w:pPr>
        <w:pStyle w:val="Heading2"/>
      </w:pPr>
      <w:r>
        <w:t>Erwägungen</w:t>
      </w:r>
    </w:p>
    <w:p>
      <w:r>
        <w:rPr>
          <w:b/>
        </w:rPr>
        <w:t>E. 2</w:t>
      </w:r>
    </w:p>
    <w:p>
      <w:r>
        <w:t>d) aa) Mit der "Feldschlösschen"-Reklame stand ein im Rahmen von Werbeblöcken ausgestrahlter Spot zur Diskussion. Die Unabhängige Beschwerdeinstanz verneinte ihre Zuständigkeit, soweit umstritten war, ob dieser das Werbeverbot für alkoholische BGE 126 II 21 S. 24 Getränke verletzte, da es sich dabei "primär um eine Frage der Einhaltung eines klar vorgegebenen Werberahmens handelt, wofür das BAKOM zuständig" sei. Sie erachtete sich aber für befugt, parallel dazu zu prüfen, ob der beanstandete Spot eine verpönte "irreführende Werbung" im Sinne von Art. 11 Ziff. 2 EUGF bzw. Art. 15 Abs. 1 lit. d RTVV darstellte. Zu Unrecht: bb) Zwar ist mit der Vorinstanz davon auszugehen, dass bei der Kompetenzabgrenzung nicht allein entscheidend sein kann, ob es sich um eine Wirtschaftswerbung handelt oder nicht, sondern in erster Linie die sich stellenden rechtlichen Fragen ausschlaggebend sein müssen. Stehen dabei inhaltliche, die Meinungs- und Willensbildung des Publikums tangierende Aspekte im Vordergrund, ist primär die Beschwerdeinstanz zuständig, bei Gesichtspunkten finanzieller oder betrieblicher Art dagegen das Bundesamt. Ob ein Spot als solcher "täuschend" wirkt, beschlägt zwar - wie die Frage, ob eine Sendung im redaktionellen Teil des Programms dem Zuschauer erlaubte, sich ein eigenes Bild zu machen - die Transparenz und die Meinungs- und Willensbildung, weshalb auch insofern eine Zuständigkeit der UBI nicht zum Vornherein auszuschliessen ist. Eine solche muss jedoch entfallen, wenn die Täuschung des Zuschauers - wie hier - gerade und ausschliesslich darin liegen soll, dass ein bestimmtes Produkt trotz Werbeverbots bzw. in Umgehung eines solchen beworben wird. cc) Die Überwachung der Einhaltung der gesetzlichen Finanzierungsvorschriften obliegt der konzessionsrechtlichen Aufsichtsbehörde, die im vorliegenden Fall von Amtes wegen tätig wurde. Die Beschwerdeinstanz kam ihrerseits zum Schluss, dass mit dem umstrittenen Spot nicht in erster Linie auf das vordergründig beworbene Produkt (alkoholfreies Bier der Marke "Schlossgold") Bezug genommen wurde, sondern primär eine Werbewirkung für "Feldschlösschen"-Bier im Allgemeinen und insbesondere das alkoholhaltige erzielt werden sollte. Wenn sie davon ausging, das Publikum sei deswegen insofern getäuscht worden, als gestützt auf den konkreten Spot der Eindruck habe entstehen müssen, "die Fussballer würden nach einem anstrengenden Match ein eisgekühltes Bier des Unternehmens 'Feldschlösschen' und damit ein alkoholhaltiges Bier trinken", beurteilte sie letztlich nichts anderes, als die - auch nach ihrem Entscheid - gerade dem Bundesamt vorbehaltene Frage, ob das Werbeverbot für alkoholhaltige Getränke verletzt worden ist. Wie im Entscheid "Camel Trophy", wo eine Umgehung des Werbeverbots für Tabakwaren mittels Imagetransfers zu beurteilen war, BGE 126 II 21 S. 25 stand damit vorliegend ausschliesslich die Zulässigkeit einer Wirtschaftswerbung und damit ein finanzrechtlicher Aspekt zur Diskussion, dessen Beurteilung den Konzessionsbehörden vorbehalten ist ( BGE 118 Ib 356 E. 3). Beschlägt die Täuschung des Zuschauers ein konkretes Werbeverbot, das aus gesundheitspolitischen Gründen der Werbung als Finanzierungsmittel Grenzen setzt, bestehen weder staats- noch medienpolitische Gründe, die entsprechende Kontrolle den konzessionsrechtlichen Aufsichtsbehörden zu entziehen. Die betriebsrechtlichen Aspekte überwiegen in diesem Fall, und der mit der Umgehung des Werbeverbots verbundenen Täuschung kommt keine eigenständige Bedeutung zu. Die allgemeine Aufsicht über das Geschäftsgebaren des Konzessionärs ist nicht Sache der Unabhängigen Beschwerdeinstanz (vgl. BGE 118 Ib 356 E. 3a S. 360 mit Hinweisen). dd) Der Tatbestand der "täuschenden Werbung" darf nicht so weit ausgedehnt werden, dass den übrigen Werbeverboten keine eigenständige Bedeutung mehr zukommt; jeder Werbung wohnt ein gewisses manipulatives Element inne (vgl. BGE 123 II 402 E. 3b S. 410). Nach den Erläuterungen zu Art. 11 Ziff. 2 EUGF, wonach täuschende bzw. den Interessen der Konsumenten schadende Werbung untersagt ist, bezieht sich diese Regelung vorab auf Fälle, in denen das Vertrauen oder die Unkenntnis des Konsumenten ausgenutzt wird (Rapport explicatif relatif à la Convention européenne sur la télévision transfrontière, Strasbourg 1990, Rz. 161, S. 37). Die Umgehung des Werbeverbots für alkoholische Getränke fällt nicht hierunter, sondern missachtet vorab direkt das entsprechende, Gegenstand der Finanzierungsvorschriften bildende Werbeverbot. Entgegen dem weiteren Einwand der Beschwerdeführerin sind Art. 11 Ziff. 2 EUGF bzw. Art. 15 Abs. 1 lit. d RTVV aber keine wettbewerbsrechtlichen Bestimmungen ohne eigenständige Bedeutung. Das Verbot der irreführenden Werbung in Art. 15 Abs. 1 lit. d RTVV ist rundfunkrechtlicher Natur und kann deshalb bei einer Verletzung auch unabhängig von wettbewerbsrechtlichen Verfahren konzessionsrechtliche Sanktionen seitens der Aufsichtsbehörden nach sich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